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766" w:type="dxa"/>
        <w:tblInd w:w="-1310" w:type="dxa"/>
        <w:tblLayout w:type="fixed"/>
        <w:tblLook w:val="04A0" w:firstRow="1" w:lastRow="0" w:firstColumn="1" w:lastColumn="0" w:noHBand="0" w:noVBand="1"/>
      </w:tblPr>
      <w:tblGrid>
        <w:gridCol w:w="1560"/>
        <w:gridCol w:w="2410"/>
        <w:gridCol w:w="1701"/>
        <w:gridCol w:w="1984"/>
        <w:gridCol w:w="1985"/>
        <w:gridCol w:w="2126"/>
      </w:tblGrid>
      <w:tr w:rsidR="007F347E" w:rsidRPr="00ED75DD" w:rsidTr="001966FE">
        <w:tc>
          <w:tcPr>
            <w:tcW w:w="1560" w:type="dxa"/>
            <w:vAlign w:val="center"/>
          </w:tcPr>
          <w:p w:rsidR="007F347E" w:rsidRPr="00ED75DD" w:rsidRDefault="007F347E" w:rsidP="001966FE">
            <w:pPr>
              <w:jc w:val="center"/>
              <w:rPr>
                <w:rFonts w:ascii="Arial" w:hAnsi="Arial" w:cs="Arial"/>
                <w:b/>
                <w:sz w:val="16"/>
                <w:szCs w:val="20"/>
              </w:rPr>
            </w:pPr>
            <w:r w:rsidRPr="00ED75DD">
              <w:rPr>
                <w:rFonts w:ascii="Arial" w:hAnsi="Arial" w:cs="Arial"/>
                <w:b/>
                <w:sz w:val="16"/>
                <w:szCs w:val="20"/>
              </w:rPr>
              <w:t>Category</w:t>
            </w:r>
          </w:p>
        </w:tc>
        <w:tc>
          <w:tcPr>
            <w:tcW w:w="2410" w:type="dxa"/>
            <w:vAlign w:val="center"/>
          </w:tcPr>
          <w:p w:rsidR="007F347E" w:rsidRPr="00ED75DD" w:rsidRDefault="007F347E" w:rsidP="001966FE">
            <w:pPr>
              <w:jc w:val="center"/>
              <w:rPr>
                <w:rFonts w:ascii="Arial" w:hAnsi="Arial" w:cs="Arial"/>
                <w:b/>
                <w:sz w:val="16"/>
                <w:szCs w:val="20"/>
              </w:rPr>
            </w:pPr>
            <w:r w:rsidRPr="00ED75DD">
              <w:rPr>
                <w:rFonts w:ascii="Arial" w:hAnsi="Arial" w:cs="Arial"/>
                <w:b/>
                <w:sz w:val="16"/>
                <w:szCs w:val="20"/>
              </w:rPr>
              <w:t>IB Learner Profile</w:t>
            </w:r>
          </w:p>
        </w:tc>
        <w:tc>
          <w:tcPr>
            <w:tcW w:w="1701" w:type="dxa"/>
            <w:vAlign w:val="center"/>
          </w:tcPr>
          <w:p w:rsidR="007F347E" w:rsidRPr="00ED75DD" w:rsidRDefault="007F347E" w:rsidP="001966FE">
            <w:pPr>
              <w:jc w:val="center"/>
              <w:rPr>
                <w:rFonts w:ascii="Arial" w:hAnsi="Arial" w:cs="Arial"/>
                <w:b/>
                <w:sz w:val="16"/>
                <w:szCs w:val="20"/>
              </w:rPr>
            </w:pPr>
            <w:r w:rsidRPr="00ED75DD">
              <w:rPr>
                <w:rFonts w:ascii="Arial" w:hAnsi="Arial" w:cs="Arial"/>
                <w:b/>
                <w:sz w:val="16"/>
                <w:szCs w:val="20"/>
              </w:rPr>
              <w:t>Excellent</w:t>
            </w:r>
          </w:p>
        </w:tc>
        <w:tc>
          <w:tcPr>
            <w:tcW w:w="1984" w:type="dxa"/>
            <w:vAlign w:val="center"/>
          </w:tcPr>
          <w:p w:rsidR="007F347E" w:rsidRPr="00ED75DD" w:rsidRDefault="007F347E" w:rsidP="001966FE">
            <w:pPr>
              <w:jc w:val="center"/>
              <w:rPr>
                <w:rFonts w:ascii="Arial" w:hAnsi="Arial" w:cs="Arial"/>
                <w:b/>
                <w:sz w:val="16"/>
                <w:szCs w:val="20"/>
              </w:rPr>
            </w:pPr>
            <w:r w:rsidRPr="00ED75DD">
              <w:rPr>
                <w:rFonts w:ascii="Arial" w:hAnsi="Arial" w:cs="Arial"/>
                <w:b/>
                <w:sz w:val="16"/>
                <w:szCs w:val="20"/>
              </w:rPr>
              <w:t>Satisfactory</w:t>
            </w:r>
          </w:p>
        </w:tc>
        <w:tc>
          <w:tcPr>
            <w:tcW w:w="1985" w:type="dxa"/>
            <w:vAlign w:val="center"/>
          </w:tcPr>
          <w:p w:rsidR="007F347E" w:rsidRPr="00ED75DD" w:rsidRDefault="007F347E" w:rsidP="001966FE">
            <w:pPr>
              <w:jc w:val="center"/>
              <w:rPr>
                <w:rFonts w:ascii="Arial" w:hAnsi="Arial" w:cs="Arial"/>
                <w:b/>
                <w:sz w:val="16"/>
                <w:szCs w:val="20"/>
              </w:rPr>
            </w:pPr>
            <w:r w:rsidRPr="00ED75DD">
              <w:rPr>
                <w:rFonts w:ascii="Arial" w:hAnsi="Arial" w:cs="Arial"/>
                <w:b/>
                <w:sz w:val="16"/>
                <w:szCs w:val="20"/>
              </w:rPr>
              <w:t>Needs Improvement</w:t>
            </w:r>
          </w:p>
        </w:tc>
        <w:tc>
          <w:tcPr>
            <w:tcW w:w="2126" w:type="dxa"/>
            <w:vAlign w:val="center"/>
          </w:tcPr>
          <w:p w:rsidR="007F347E" w:rsidRPr="00ED75DD" w:rsidRDefault="007F347E" w:rsidP="001966FE">
            <w:pPr>
              <w:jc w:val="center"/>
              <w:rPr>
                <w:rFonts w:ascii="Arial" w:hAnsi="Arial" w:cs="Arial"/>
                <w:b/>
                <w:sz w:val="16"/>
                <w:szCs w:val="20"/>
              </w:rPr>
            </w:pPr>
            <w:r w:rsidRPr="00ED75DD">
              <w:rPr>
                <w:rFonts w:ascii="Arial" w:hAnsi="Arial" w:cs="Arial"/>
                <w:b/>
                <w:sz w:val="16"/>
                <w:szCs w:val="20"/>
              </w:rPr>
              <w:t>Incomplete</w:t>
            </w:r>
          </w:p>
        </w:tc>
      </w:tr>
      <w:tr w:rsidR="007F347E" w:rsidRPr="00ED75DD" w:rsidTr="001966FE">
        <w:tc>
          <w:tcPr>
            <w:tcW w:w="1560" w:type="dxa"/>
            <w:vAlign w:val="center"/>
          </w:tcPr>
          <w:p w:rsidR="007F347E" w:rsidRPr="00ED75DD" w:rsidRDefault="007F347E" w:rsidP="001966FE">
            <w:pPr>
              <w:jc w:val="center"/>
              <w:rPr>
                <w:rFonts w:ascii="Arial" w:hAnsi="Arial" w:cs="Arial"/>
                <w:b/>
                <w:sz w:val="16"/>
                <w:szCs w:val="20"/>
              </w:rPr>
            </w:pPr>
            <w:r w:rsidRPr="00ED75DD">
              <w:rPr>
                <w:rFonts w:ascii="Arial" w:hAnsi="Arial" w:cs="Arial"/>
                <w:b/>
                <w:sz w:val="16"/>
                <w:szCs w:val="20"/>
              </w:rPr>
              <w:t>Questioning/ Inquiring</w:t>
            </w:r>
          </w:p>
        </w:tc>
        <w:tc>
          <w:tcPr>
            <w:tcW w:w="2410" w:type="dxa"/>
          </w:tcPr>
          <w:p w:rsidR="007F347E" w:rsidRPr="00ED75DD" w:rsidRDefault="007F347E" w:rsidP="001966FE">
            <w:pPr>
              <w:rPr>
                <w:rFonts w:ascii="Arial" w:hAnsi="Arial" w:cs="Arial"/>
                <w:sz w:val="16"/>
                <w:szCs w:val="20"/>
              </w:rPr>
            </w:pPr>
            <w:r w:rsidRPr="00ED75DD">
              <w:rPr>
                <w:rFonts w:ascii="Arial" w:hAnsi="Arial" w:cs="Arial"/>
                <w:color w:val="141413"/>
                <w:sz w:val="16"/>
                <w:szCs w:val="20"/>
              </w:rPr>
              <w:t>IB students “develop their natural curiosity. They acquire the skills necessary to conduct inquiry and research and show independence in learning. They actively enjoy learning and this love of learning will be sustained throughout their lives.”</w:t>
            </w:r>
            <w:sdt>
              <w:sdtPr>
                <w:rPr>
                  <w:rFonts w:ascii="Arial" w:hAnsi="Arial" w:cs="Arial"/>
                  <w:color w:val="141413"/>
                  <w:sz w:val="16"/>
                  <w:szCs w:val="20"/>
                </w:rPr>
                <w:id w:val="-632105530"/>
                <w:citation/>
              </w:sdtPr>
              <w:sdtContent>
                <w:r w:rsidRPr="00ED75DD">
                  <w:rPr>
                    <w:rFonts w:ascii="Arial" w:hAnsi="Arial" w:cs="Arial"/>
                    <w:color w:val="141413"/>
                    <w:sz w:val="16"/>
                    <w:szCs w:val="20"/>
                  </w:rPr>
                  <w:fldChar w:fldCharType="begin"/>
                </w:r>
                <w:r w:rsidRPr="00ED75DD">
                  <w:rPr>
                    <w:rFonts w:ascii="Arial" w:hAnsi="Arial" w:cs="Arial"/>
                    <w:color w:val="141413"/>
                    <w:sz w:val="16"/>
                    <w:szCs w:val="20"/>
                  </w:rPr>
                  <w:instrText xml:space="preserve"> CITATION Int09 \l 1033 </w:instrText>
                </w:r>
                <w:r w:rsidRPr="00ED75DD">
                  <w:rPr>
                    <w:rFonts w:ascii="Arial" w:hAnsi="Arial" w:cs="Arial"/>
                    <w:color w:val="141413"/>
                    <w:sz w:val="16"/>
                    <w:szCs w:val="20"/>
                  </w:rPr>
                  <w:fldChar w:fldCharType="separate"/>
                </w:r>
                <w:r>
                  <w:rPr>
                    <w:rFonts w:ascii="Arial" w:hAnsi="Arial" w:cs="Arial"/>
                    <w:noProof/>
                    <w:color w:val="141413"/>
                    <w:sz w:val="16"/>
                    <w:szCs w:val="20"/>
                  </w:rPr>
                  <w:t xml:space="preserve"> </w:t>
                </w:r>
                <w:r w:rsidRPr="007F347E">
                  <w:rPr>
                    <w:rFonts w:ascii="Arial" w:hAnsi="Arial" w:cs="Arial"/>
                    <w:noProof/>
                    <w:color w:val="141413"/>
                    <w:sz w:val="16"/>
                    <w:szCs w:val="20"/>
                  </w:rPr>
                  <w:t>(International Baccalaureate Organization, 2009)</w:t>
                </w:r>
                <w:r w:rsidRPr="00ED75DD">
                  <w:rPr>
                    <w:rFonts w:ascii="Arial" w:hAnsi="Arial" w:cs="Arial"/>
                    <w:color w:val="141413"/>
                    <w:sz w:val="16"/>
                    <w:szCs w:val="20"/>
                  </w:rPr>
                  <w:fldChar w:fldCharType="end"/>
                </w:r>
              </w:sdtContent>
            </w:sdt>
          </w:p>
        </w:tc>
        <w:tc>
          <w:tcPr>
            <w:tcW w:w="1701" w:type="dxa"/>
          </w:tcPr>
          <w:p w:rsidR="007F347E" w:rsidRPr="00ED75DD" w:rsidRDefault="007F347E" w:rsidP="007F347E">
            <w:pPr>
              <w:pStyle w:val="ListParagraph"/>
              <w:numPr>
                <w:ilvl w:val="0"/>
                <w:numId w:val="1"/>
              </w:numPr>
              <w:ind w:left="318"/>
              <w:rPr>
                <w:rFonts w:ascii="Arial" w:hAnsi="Arial" w:cs="Arial"/>
                <w:sz w:val="16"/>
                <w:szCs w:val="20"/>
              </w:rPr>
            </w:pPr>
            <w:r w:rsidRPr="00ED75DD">
              <w:rPr>
                <w:rFonts w:ascii="Arial" w:hAnsi="Arial" w:cs="Arial"/>
                <w:sz w:val="16"/>
                <w:szCs w:val="20"/>
              </w:rPr>
              <w:t>Develops 2 strong reflection questions that have arisen from the class and can articulate why they want to know the answer</w:t>
            </w:r>
          </w:p>
        </w:tc>
        <w:tc>
          <w:tcPr>
            <w:tcW w:w="1984" w:type="dxa"/>
          </w:tcPr>
          <w:p w:rsidR="007F347E" w:rsidRPr="00ED75DD" w:rsidRDefault="007F347E" w:rsidP="007F347E">
            <w:pPr>
              <w:pStyle w:val="ListParagraph"/>
              <w:numPr>
                <w:ilvl w:val="0"/>
                <w:numId w:val="1"/>
              </w:numPr>
              <w:ind w:left="318"/>
              <w:rPr>
                <w:rFonts w:ascii="Arial" w:hAnsi="Arial" w:cs="Arial"/>
                <w:sz w:val="16"/>
                <w:szCs w:val="20"/>
              </w:rPr>
            </w:pPr>
            <w:r w:rsidRPr="00ED75DD">
              <w:rPr>
                <w:rFonts w:ascii="Arial" w:hAnsi="Arial" w:cs="Arial"/>
                <w:sz w:val="16"/>
                <w:szCs w:val="20"/>
              </w:rPr>
              <w:t>Develops 1 reflection question that has arisen from the class and attempts to articulate why they want to know the answer</w:t>
            </w:r>
          </w:p>
        </w:tc>
        <w:tc>
          <w:tcPr>
            <w:tcW w:w="1985" w:type="dxa"/>
          </w:tcPr>
          <w:p w:rsidR="007F347E" w:rsidRPr="00ED75DD" w:rsidRDefault="007F347E" w:rsidP="007F347E">
            <w:pPr>
              <w:pStyle w:val="ListParagraph"/>
              <w:numPr>
                <w:ilvl w:val="0"/>
                <w:numId w:val="1"/>
              </w:numPr>
              <w:ind w:left="318"/>
              <w:rPr>
                <w:rFonts w:ascii="Arial" w:hAnsi="Arial" w:cs="Arial"/>
                <w:sz w:val="16"/>
                <w:szCs w:val="20"/>
              </w:rPr>
            </w:pPr>
            <w:r w:rsidRPr="00ED75DD">
              <w:rPr>
                <w:rFonts w:ascii="Arial" w:hAnsi="Arial" w:cs="Arial"/>
                <w:sz w:val="16"/>
                <w:szCs w:val="20"/>
              </w:rPr>
              <w:t>Inquiry question is weak or unclear but there is an attempt bring up points from class</w:t>
            </w:r>
          </w:p>
        </w:tc>
        <w:tc>
          <w:tcPr>
            <w:tcW w:w="2126" w:type="dxa"/>
          </w:tcPr>
          <w:p w:rsidR="007F347E" w:rsidRPr="00ED75DD" w:rsidRDefault="007F347E" w:rsidP="007F347E">
            <w:pPr>
              <w:pStyle w:val="ListParagraph"/>
              <w:numPr>
                <w:ilvl w:val="0"/>
                <w:numId w:val="1"/>
              </w:numPr>
              <w:ind w:left="318"/>
              <w:rPr>
                <w:rFonts w:ascii="Arial" w:hAnsi="Arial" w:cs="Arial"/>
                <w:sz w:val="16"/>
                <w:szCs w:val="20"/>
              </w:rPr>
            </w:pPr>
            <w:r w:rsidRPr="00ED75DD">
              <w:rPr>
                <w:rFonts w:ascii="Arial" w:hAnsi="Arial" w:cs="Arial"/>
                <w:sz w:val="16"/>
                <w:szCs w:val="20"/>
              </w:rPr>
              <w:t>Did not complete the journal or journal was not completed to the extent required</w:t>
            </w:r>
          </w:p>
        </w:tc>
      </w:tr>
      <w:tr w:rsidR="007F347E" w:rsidRPr="00ED75DD" w:rsidTr="001966FE">
        <w:tc>
          <w:tcPr>
            <w:tcW w:w="1560" w:type="dxa"/>
            <w:vAlign w:val="center"/>
          </w:tcPr>
          <w:p w:rsidR="007F347E" w:rsidRPr="00ED75DD" w:rsidRDefault="007F347E" w:rsidP="001966FE">
            <w:pPr>
              <w:jc w:val="center"/>
              <w:rPr>
                <w:rFonts w:ascii="Arial" w:hAnsi="Arial" w:cs="Arial"/>
                <w:b/>
                <w:sz w:val="16"/>
                <w:szCs w:val="20"/>
              </w:rPr>
            </w:pPr>
            <w:r w:rsidRPr="00ED75DD">
              <w:rPr>
                <w:rFonts w:ascii="Arial" w:hAnsi="Arial" w:cs="Arial"/>
                <w:b/>
                <w:sz w:val="16"/>
                <w:szCs w:val="20"/>
              </w:rPr>
              <w:t>Reflecting</w:t>
            </w:r>
          </w:p>
        </w:tc>
        <w:tc>
          <w:tcPr>
            <w:tcW w:w="2410" w:type="dxa"/>
          </w:tcPr>
          <w:p w:rsidR="007F347E" w:rsidRPr="00ED75DD" w:rsidRDefault="007F347E" w:rsidP="001966FE">
            <w:pPr>
              <w:rPr>
                <w:rFonts w:ascii="Arial" w:hAnsi="Arial" w:cs="Arial"/>
                <w:sz w:val="16"/>
                <w:szCs w:val="20"/>
              </w:rPr>
            </w:pPr>
            <w:r w:rsidRPr="00ED75DD">
              <w:rPr>
                <w:rFonts w:ascii="Arial" w:hAnsi="Arial" w:cs="Arial"/>
                <w:color w:val="141413"/>
                <w:sz w:val="16"/>
                <w:szCs w:val="20"/>
              </w:rPr>
              <w:t>IB students, “give thoughtful consideration to their own learning and experience. They are able to assess and understand their strengths and limitations in order to support their learning and personal development.”</w:t>
            </w:r>
            <w:sdt>
              <w:sdtPr>
                <w:rPr>
                  <w:rFonts w:ascii="Arial" w:hAnsi="Arial" w:cs="Arial"/>
                  <w:color w:val="141413"/>
                  <w:sz w:val="16"/>
                  <w:szCs w:val="20"/>
                </w:rPr>
                <w:id w:val="-1635476875"/>
                <w:citation/>
              </w:sdtPr>
              <w:sdtContent>
                <w:r w:rsidRPr="00ED75DD">
                  <w:rPr>
                    <w:rFonts w:ascii="Arial" w:hAnsi="Arial" w:cs="Arial"/>
                    <w:color w:val="141413"/>
                    <w:sz w:val="16"/>
                    <w:szCs w:val="20"/>
                  </w:rPr>
                  <w:fldChar w:fldCharType="begin"/>
                </w:r>
                <w:r w:rsidRPr="00ED75DD">
                  <w:rPr>
                    <w:rFonts w:ascii="Arial" w:hAnsi="Arial" w:cs="Arial"/>
                    <w:color w:val="141413"/>
                    <w:sz w:val="16"/>
                    <w:szCs w:val="20"/>
                  </w:rPr>
                  <w:instrText xml:space="preserve"> CITATION Int09 \l 1033 </w:instrText>
                </w:r>
                <w:r w:rsidRPr="00ED75DD">
                  <w:rPr>
                    <w:rFonts w:ascii="Arial" w:hAnsi="Arial" w:cs="Arial"/>
                    <w:color w:val="141413"/>
                    <w:sz w:val="16"/>
                    <w:szCs w:val="20"/>
                  </w:rPr>
                  <w:fldChar w:fldCharType="separate"/>
                </w:r>
                <w:r>
                  <w:rPr>
                    <w:rFonts w:ascii="Arial" w:hAnsi="Arial" w:cs="Arial"/>
                    <w:noProof/>
                    <w:color w:val="141413"/>
                    <w:sz w:val="16"/>
                    <w:szCs w:val="20"/>
                  </w:rPr>
                  <w:t xml:space="preserve"> </w:t>
                </w:r>
                <w:r w:rsidRPr="007F347E">
                  <w:rPr>
                    <w:rFonts w:ascii="Arial" w:hAnsi="Arial" w:cs="Arial"/>
                    <w:noProof/>
                    <w:color w:val="141413"/>
                    <w:sz w:val="16"/>
                    <w:szCs w:val="20"/>
                  </w:rPr>
                  <w:t>(International Baccalaureate Organization, 2009)</w:t>
                </w:r>
                <w:r w:rsidRPr="00ED75DD">
                  <w:rPr>
                    <w:rFonts w:ascii="Arial" w:hAnsi="Arial" w:cs="Arial"/>
                    <w:color w:val="141413"/>
                    <w:sz w:val="16"/>
                    <w:szCs w:val="20"/>
                  </w:rPr>
                  <w:fldChar w:fldCharType="end"/>
                </w:r>
              </w:sdtContent>
            </w:sdt>
          </w:p>
        </w:tc>
        <w:tc>
          <w:tcPr>
            <w:tcW w:w="1701" w:type="dxa"/>
          </w:tcPr>
          <w:p w:rsidR="007F347E" w:rsidRPr="00ED75DD" w:rsidRDefault="007F347E" w:rsidP="007F347E">
            <w:pPr>
              <w:pStyle w:val="ListParagraph"/>
              <w:numPr>
                <w:ilvl w:val="0"/>
                <w:numId w:val="1"/>
              </w:numPr>
              <w:ind w:left="318"/>
              <w:rPr>
                <w:rFonts w:ascii="Arial" w:hAnsi="Arial" w:cs="Arial"/>
                <w:sz w:val="16"/>
                <w:szCs w:val="20"/>
              </w:rPr>
            </w:pPr>
            <w:r w:rsidRPr="00ED75DD">
              <w:rPr>
                <w:rFonts w:ascii="Arial" w:hAnsi="Arial" w:cs="Arial"/>
                <w:sz w:val="16"/>
                <w:szCs w:val="20"/>
              </w:rPr>
              <w:t>Looks back on what they’ve learned so far and how it relates to their own experiences or shifts their perspective</w:t>
            </w:r>
          </w:p>
        </w:tc>
        <w:tc>
          <w:tcPr>
            <w:tcW w:w="1984" w:type="dxa"/>
          </w:tcPr>
          <w:p w:rsidR="007F347E" w:rsidRPr="00ED75DD" w:rsidRDefault="007F347E" w:rsidP="007F347E">
            <w:pPr>
              <w:pStyle w:val="ListParagraph"/>
              <w:numPr>
                <w:ilvl w:val="0"/>
                <w:numId w:val="1"/>
              </w:numPr>
              <w:ind w:left="318"/>
              <w:rPr>
                <w:rFonts w:ascii="Arial" w:hAnsi="Arial" w:cs="Arial"/>
                <w:sz w:val="16"/>
                <w:szCs w:val="20"/>
              </w:rPr>
            </w:pPr>
            <w:r w:rsidRPr="00ED75DD">
              <w:rPr>
                <w:rFonts w:ascii="Arial" w:hAnsi="Arial" w:cs="Arial"/>
                <w:sz w:val="16"/>
                <w:szCs w:val="20"/>
              </w:rPr>
              <w:t>Looks back on what they’ve learned so far</w:t>
            </w:r>
          </w:p>
        </w:tc>
        <w:tc>
          <w:tcPr>
            <w:tcW w:w="1985" w:type="dxa"/>
          </w:tcPr>
          <w:p w:rsidR="007F347E" w:rsidRPr="00ED75DD" w:rsidRDefault="007F347E" w:rsidP="007F347E">
            <w:pPr>
              <w:pStyle w:val="ListParagraph"/>
              <w:numPr>
                <w:ilvl w:val="0"/>
                <w:numId w:val="1"/>
              </w:numPr>
              <w:ind w:left="318"/>
              <w:rPr>
                <w:rFonts w:ascii="Arial" w:hAnsi="Arial" w:cs="Arial"/>
                <w:sz w:val="16"/>
                <w:szCs w:val="20"/>
              </w:rPr>
            </w:pPr>
            <w:r w:rsidRPr="00ED75DD">
              <w:rPr>
                <w:rFonts w:ascii="Arial" w:hAnsi="Arial" w:cs="Arial"/>
                <w:sz w:val="16"/>
                <w:szCs w:val="20"/>
              </w:rPr>
              <w:t>Is unable to make connections between the current class and what they’ve learned so far</w:t>
            </w:r>
          </w:p>
        </w:tc>
        <w:tc>
          <w:tcPr>
            <w:tcW w:w="2126" w:type="dxa"/>
          </w:tcPr>
          <w:p w:rsidR="007F347E" w:rsidRPr="00ED75DD" w:rsidRDefault="007F347E" w:rsidP="007F347E">
            <w:pPr>
              <w:pStyle w:val="ListParagraph"/>
              <w:numPr>
                <w:ilvl w:val="0"/>
                <w:numId w:val="1"/>
              </w:numPr>
              <w:ind w:left="318"/>
              <w:rPr>
                <w:rFonts w:ascii="Arial" w:hAnsi="Arial" w:cs="Arial"/>
                <w:sz w:val="16"/>
                <w:szCs w:val="20"/>
              </w:rPr>
            </w:pPr>
            <w:r w:rsidRPr="00ED75DD">
              <w:rPr>
                <w:rFonts w:ascii="Arial" w:hAnsi="Arial" w:cs="Arial"/>
                <w:sz w:val="16"/>
                <w:szCs w:val="20"/>
              </w:rPr>
              <w:t>Did not complete the journal or journal was not completed to the extent required</w:t>
            </w:r>
          </w:p>
        </w:tc>
      </w:tr>
      <w:tr w:rsidR="007F347E" w:rsidRPr="00ED75DD" w:rsidTr="001966FE">
        <w:tc>
          <w:tcPr>
            <w:tcW w:w="1560" w:type="dxa"/>
            <w:vAlign w:val="center"/>
          </w:tcPr>
          <w:p w:rsidR="007F347E" w:rsidRPr="00ED75DD" w:rsidRDefault="007F347E" w:rsidP="001966FE">
            <w:pPr>
              <w:jc w:val="center"/>
              <w:rPr>
                <w:rFonts w:ascii="Arial" w:hAnsi="Arial" w:cs="Arial"/>
                <w:b/>
                <w:sz w:val="16"/>
                <w:szCs w:val="20"/>
              </w:rPr>
            </w:pPr>
            <w:r w:rsidRPr="00ED75DD">
              <w:rPr>
                <w:rFonts w:ascii="Arial" w:hAnsi="Arial" w:cs="Arial"/>
                <w:b/>
                <w:sz w:val="16"/>
                <w:szCs w:val="20"/>
              </w:rPr>
              <w:t>Thinking</w:t>
            </w:r>
          </w:p>
        </w:tc>
        <w:tc>
          <w:tcPr>
            <w:tcW w:w="2410" w:type="dxa"/>
          </w:tcPr>
          <w:p w:rsidR="007F347E" w:rsidRPr="00ED75DD" w:rsidRDefault="007F347E" w:rsidP="001966FE">
            <w:pPr>
              <w:rPr>
                <w:rFonts w:ascii="Arial" w:hAnsi="Arial" w:cs="Arial"/>
                <w:sz w:val="16"/>
                <w:szCs w:val="20"/>
              </w:rPr>
            </w:pPr>
            <w:r w:rsidRPr="00ED75DD">
              <w:rPr>
                <w:rFonts w:ascii="Arial" w:hAnsi="Arial" w:cs="Arial"/>
                <w:sz w:val="16"/>
                <w:szCs w:val="20"/>
              </w:rPr>
              <w:t>IB students, “</w:t>
            </w:r>
            <w:r w:rsidRPr="00ED75DD">
              <w:rPr>
                <w:rFonts w:ascii="Arial" w:hAnsi="Arial" w:cs="Arial"/>
                <w:color w:val="141413"/>
                <w:sz w:val="16"/>
                <w:szCs w:val="20"/>
              </w:rPr>
              <w:t>exercise initiative in applying thinking skills critically and creatively to recognize and approach complex problems, and make reasoned, ethical decisions.”</w:t>
            </w:r>
            <w:sdt>
              <w:sdtPr>
                <w:rPr>
                  <w:rFonts w:ascii="Arial" w:hAnsi="Arial" w:cs="Arial"/>
                  <w:color w:val="141413"/>
                  <w:sz w:val="16"/>
                  <w:szCs w:val="20"/>
                </w:rPr>
                <w:id w:val="-2071718786"/>
                <w:citation/>
              </w:sdtPr>
              <w:sdtContent>
                <w:r w:rsidRPr="00ED75DD">
                  <w:rPr>
                    <w:rFonts w:ascii="Arial" w:hAnsi="Arial" w:cs="Arial"/>
                    <w:color w:val="141413"/>
                    <w:sz w:val="16"/>
                    <w:szCs w:val="20"/>
                  </w:rPr>
                  <w:fldChar w:fldCharType="begin"/>
                </w:r>
                <w:r w:rsidRPr="00ED75DD">
                  <w:rPr>
                    <w:rFonts w:ascii="Arial" w:hAnsi="Arial" w:cs="Arial"/>
                    <w:color w:val="141413"/>
                    <w:sz w:val="16"/>
                    <w:szCs w:val="20"/>
                  </w:rPr>
                  <w:instrText xml:space="preserve"> CITATION Int09 \l 1033 </w:instrText>
                </w:r>
                <w:r w:rsidRPr="00ED75DD">
                  <w:rPr>
                    <w:rFonts w:ascii="Arial" w:hAnsi="Arial" w:cs="Arial"/>
                    <w:color w:val="141413"/>
                    <w:sz w:val="16"/>
                    <w:szCs w:val="20"/>
                  </w:rPr>
                  <w:fldChar w:fldCharType="separate"/>
                </w:r>
                <w:r>
                  <w:rPr>
                    <w:rFonts w:ascii="Arial" w:hAnsi="Arial" w:cs="Arial"/>
                    <w:noProof/>
                    <w:color w:val="141413"/>
                    <w:sz w:val="16"/>
                    <w:szCs w:val="20"/>
                  </w:rPr>
                  <w:t xml:space="preserve"> </w:t>
                </w:r>
                <w:r w:rsidRPr="007F347E">
                  <w:rPr>
                    <w:rFonts w:ascii="Arial" w:hAnsi="Arial" w:cs="Arial"/>
                    <w:noProof/>
                    <w:color w:val="141413"/>
                    <w:sz w:val="16"/>
                    <w:szCs w:val="20"/>
                  </w:rPr>
                  <w:t>(International Baccalaureate Organization, 2009)</w:t>
                </w:r>
                <w:r w:rsidRPr="00ED75DD">
                  <w:rPr>
                    <w:rFonts w:ascii="Arial" w:hAnsi="Arial" w:cs="Arial"/>
                    <w:color w:val="141413"/>
                    <w:sz w:val="16"/>
                    <w:szCs w:val="20"/>
                  </w:rPr>
                  <w:fldChar w:fldCharType="end"/>
                </w:r>
              </w:sdtContent>
            </w:sdt>
          </w:p>
        </w:tc>
        <w:tc>
          <w:tcPr>
            <w:tcW w:w="1701" w:type="dxa"/>
          </w:tcPr>
          <w:p w:rsidR="007F347E" w:rsidRPr="00ED75DD" w:rsidRDefault="007F347E" w:rsidP="007F347E">
            <w:pPr>
              <w:pStyle w:val="ListParagraph"/>
              <w:numPr>
                <w:ilvl w:val="0"/>
                <w:numId w:val="1"/>
              </w:numPr>
              <w:ind w:left="318"/>
              <w:rPr>
                <w:rFonts w:ascii="Arial" w:hAnsi="Arial" w:cs="Arial"/>
                <w:sz w:val="16"/>
                <w:szCs w:val="20"/>
              </w:rPr>
            </w:pPr>
            <w:r w:rsidRPr="00ED75DD">
              <w:rPr>
                <w:rFonts w:ascii="Arial" w:hAnsi="Arial" w:cs="Arial"/>
                <w:sz w:val="16"/>
                <w:szCs w:val="20"/>
              </w:rPr>
              <w:t>Analyze complex tensions from the class topic or their group work and develops a resolution to these tensions</w:t>
            </w:r>
          </w:p>
        </w:tc>
        <w:tc>
          <w:tcPr>
            <w:tcW w:w="1984" w:type="dxa"/>
          </w:tcPr>
          <w:p w:rsidR="007F347E" w:rsidRPr="00ED75DD" w:rsidRDefault="007F347E" w:rsidP="007F347E">
            <w:pPr>
              <w:pStyle w:val="ListParagraph"/>
              <w:numPr>
                <w:ilvl w:val="0"/>
                <w:numId w:val="1"/>
              </w:numPr>
              <w:ind w:left="318"/>
              <w:rPr>
                <w:rFonts w:ascii="Arial" w:hAnsi="Arial" w:cs="Arial"/>
                <w:sz w:val="16"/>
                <w:szCs w:val="20"/>
              </w:rPr>
            </w:pPr>
            <w:r w:rsidRPr="00ED75DD">
              <w:rPr>
                <w:rFonts w:ascii="Arial" w:hAnsi="Arial" w:cs="Arial"/>
                <w:sz w:val="16"/>
                <w:szCs w:val="20"/>
              </w:rPr>
              <w:t>Recognizes tensions from the class topic or their group work and the need for resolution</w:t>
            </w:r>
          </w:p>
        </w:tc>
        <w:tc>
          <w:tcPr>
            <w:tcW w:w="1985" w:type="dxa"/>
          </w:tcPr>
          <w:p w:rsidR="007F347E" w:rsidRPr="00ED75DD" w:rsidRDefault="007F347E" w:rsidP="007F347E">
            <w:pPr>
              <w:pStyle w:val="ListParagraph"/>
              <w:numPr>
                <w:ilvl w:val="0"/>
                <w:numId w:val="1"/>
              </w:numPr>
              <w:ind w:left="318"/>
              <w:rPr>
                <w:rFonts w:ascii="Arial" w:hAnsi="Arial" w:cs="Arial"/>
                <w:sz w:val="16"/>
                <w:szCs w:val="20"/>
              </w:rPr>
            </w:pPr>
            <w:r w:rsidRPr="00ED75DD">
              <w:rPr>
                <w:rFonts w:ascii="Arial" w:hAnsi="Arial" w:cs="Arial"/>
                <w:sz w:val="16"/>
                <w:szCs w:val="20"/>
              </w:rPr>
              <w:t xml:space="preserve">Struggles to recognize tensions from the class topic or their group work </w:t>
            </w:r>
          </w:p>
        </w:tc>
        <w:tc>
          <w:tcPr>
            <w:tcW w:w="2126" w:type="dxa"/>
          </w:tcPr>
          <w:p w:rsidR="007F347E" w:rsidRPr="00ED75DD" w:rsidRDefault="007F347E" w:rsidP="007F347E">
            <w:pPr>
              <w:pStyle w:val="ListParagraph"/>
              <w:numPr>
                <w:ilvl w:val="0"/>
                <w:numId w:val="1"/>
              </w:numPr>
              <w:ind w:left="318"/>
              <w:rPr>
                <w:rFonts w:ascii="Arial" w:hAnsi="Arial" w:cs="Arial"/>
                <w:sz w:val="16"/>
                <w:szCs w:val="20"/>
              </w:rPr>
            </w:pPr>
            <w:r w:rsidRPr="00ED75DD">
              <w:rPr>
                <w:rFonts w:ascii="Arial" w:hAnsi="Arial" w:cs="Arial"/>
                <w:sz w:val="16"/>
                <w:szCs w:val="20"/>
              </w:rPr>
              <w:t>Did not complete the journal or journal was not completed to the extent required</w:t>
            </w:r>
          </w:p>
        </w:tc>
      </w:tr>
    </w:tbl>
    <w:p w:rsidR="001950AF" w:rsidRDefault="001950AF">
      <w:bookmarkStart w:id="0" w:name="_GoBack"/>
      <w:bookmarkEnd w:id="0"/>
    </w:p>
    <w:sectPr w:rsidR="001950AF" w:rsidSect="004A5D40">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1A2AE5"/>
    <w:multiLevelType w:val="hybridMultilevel"/>
    <w:tmpl w:val="8E98E4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47E"/>
    <w:rsid w:val="001950AF"/>
    <w:rsid w:val="004A5D40"/>
    <w:rsid w:val="007F347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F42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4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347E"/>
    <w:pPr>
      <w:ind w:left="720"/>
      <w:contextualSpacing/>
    </w:pPr>
  </w:style>
  <w:style w:type="table" w:styleId="TableGrid">
    <w:name w:val="Table Grid"/>
    <w:basedOn w:val="TableNormal"/>
    <w:uiPriority w:val="59"/>
    <w:rsid w:val="007F3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F34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347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4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347E"/>
    <w:pPr>
      <w:ind w:left="720"/>
      <w:contextualSpacing/>
    </w:pPr>
  </w:style>
  <w:style w:type="table" w:styleId="TableGrid">
    <w:name w:val="Table Grid"/>
    <w:basedOn w:val="TableNormal"/>
    <w:uiPriority w:val="59"/>
    <w:rsid w:val="007F3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F34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347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Int09</b:Tag>
    <b:SourceType>DocumentFromInternetSite</b:SourceType>
    <b:Guid>{6E887CBC-1AF3-7B42-8C78-C6B551F7A90A}</b:Guid>
    <b:Title>IB Learner Profile</b:Title>
    <b:Year>2009</b:Year>
    <b:Month>Jan.</b:Month>
    <b:Author>
      <b:Author>
        <b:Corporate>International Baccalaureate Organization</b:Corporate>
      </b:Author>
    </b:Author>
    <b:InternetSiteTitle>International Baccalaureate Organization</b:InternetSiteTitle>
    <b:URL>http://www.ibo.org/programmes/profile/documents/Learnerprofileguide.pdf</b:URL>
    <b:YearAccessed>2012</b:YearAccessed>
    <b:MonthAccessed>Feb.</b:MonthAccessed>
    <b:DayAccessed>27</b:DayAccessed>
    <b:RefOrder>1</b:RefOrder>
  </b:Source>
</b:Sources>
</file>

<file path=customXml/itemProps1.xml><?xml version="1.0" encoding="utf-8"?>
<ds:datastoreItem xmlns:ds="http://schemas.openxmlformats.org/officeDocument/2006/customXml" ds:itemID="{6F1F22C2-1E3E-D846-AFA1-9721C70E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311</Words>
  <Characters>1774</Characters>
  <Application>Microsoft Macintosh Word</Application>
  <DocSecurity>0</DocSecurity>
  <Lines>14</Lines>
  <Paragraphs>4</Paragraphs>
  <ScaleCrop>false</ScaleCrop>
  <Company>School District #35 (Langley)</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SD35</dc:creator>
  <cp:keywords/>
  <dc:description/>
  <cp:lastModifiedBy>SD35</cp:lastModifiedBy>
  <cp:revision>1</cp:revision>
  <dcterms:created xsi:type="dcterms:W3CDTF">2012-02-28T16:37:00Z</dcterms:created>
  <dcterms:modified xsi:type="dcterms:W3CDTF">2012-02-28T16:38:00Z</dcterms:modified>
</cp:coreProperties>
</file>